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  <w:sectPr>
          <w:pgSz w:h="16834" w:w="11909" w:orient="portrait"/>
          <w:pgMar w:bottom="1440" w:top="1440" w:left="1440" w:right="1440" w:header="720" w:footer="720"/>
          <w:pgNumType w:start="1"/>
        </w:sectPr>
      </w:pPr>
      <w:bookmarkStart w:colFirst="0" w:colLast="0" w:name="_v61fvgea4xaq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Heading2"/>
        <w:spacing w:after="0" w:before="240" w:line="360" w:lineRule="auto"/>
        <w:jc w:val="both"/>
        <w:rPr>
          <w:rFonts w:ascii="Times New Roman" w:cs="Times New Roman" w:eastAsia="Times New Roman" w:hAnsi="Times New Roman"/>
          <w:b w:val="1"/>
          <w:bCs w:val="1"/>
          <w:color w:val="1155cc"/>
          <w:sz w:val="24"/>
          <w:szCs w:val="24"/>
        </w:rPr>
      </w:pPr>
      <w:bookmarkStart w:colFirst="0" w:colLast="0" w:name="_vzskkrk925gq" w:id="1"/>
      <w:bookmarkEnd w:id="1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155cc"/>
          <w:sz w:val="24"/>
          <w:szCs w:val="24"/>
          <w:highlight w:val="white"/>
          <w:rtl w:val="0"/>
        </w:rPr>
        <w:t xml:space="preserve">     2.2 Panorama Demográfico: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Para a elaboração do panorama demográfico utilizou-se, os dados dos Censos de 2022 e 2010 coletados por meio do Sistema IBGE de Recuperação Automática (SIDRA). Segundo a publicação “Censo Demográfico 2022 Favelas e Comunidades Urbanas- Resultados do universo” publicado em 2025 pelo IBGE, aponta-se um aumento - entre os Censos de 2010 e 2022 - de 292 comunidades urbanas no município do Salvador, estimando um crescimento da população residente de 9,7%. Observa-se também um pequeno aumento, de aproximadamente 1%, na proporção de mulheres residentes em comunidades urbanas do município. Sobre a taxa de analfabetismo, constata-se um decréscimo de aproximadamente 2% e, em relação ao perfil étnico-racial há um aumento de 6,3% da população autodeclarada preta e uma diminuição de 2,6% de pardos e 2,4% de brancos. A população autodeclarada negra, pretos e pardos conforme o Estatuto da Igualdade Racial (2010), representa em 2022 83.5% dos moradores de comunidades urbanas em Salvador.</w:t>
      </w:r>
    </w:p>
    <w:p w:rsidR="00000000" w:rsidDel="00000000" w:rsidP="00000000" w:rsidRDefault="00000000" w:rsidRPr="00000000" w14:paraId="00000004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  <w:sectPr>
          <w:type w:val="nextPage"/>
          <w:pgSz w:h="16834" w:w="11909" w:orient="portrait"/>
          <w:pgMar w:bottom="1133" w:top="1133" w:left="1133" w:right="1133" w:header="720" w:footer="720"/>
        </w:sect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Considerando os dados gerais do município apontados pelo IBGE, busca-se observar e comparar os dados levantados especificamente para o território das comunidades de Canabrava e Loteamento da Mangueira. Entretanto, é importante ressaltar que, conforme mostram os mapas 4 e 5 abaixo, os setores censitários que englobam o território variam entre os Censos. Para possível comparação dos dados em Canabrava e Loteamento das Mangueiras foi necessário elencar os dados dos setores censitários de 2010 correspondentes às áreas de Favelas e Comunidades Urbanas do IBGE 2022. Em 2010, a poligonal dos setores censitários englobava parte da poligonal do Parque Socioambiental de Canabrava, que era o antigo lixão, atualmente ocupado por instalações do Esporte Clube Vitória. Já no Censo de 2022, a poligonal diz respeito somente as comunidades estudadas.</w:t>
      </w:r>
    </w:p>
    <w:p w:rsidR="00000000" w:rsidDel="00000000" w:rsidP="00000000" w:rsidRDefault="00000000" w:rsidRPr="00000000" w14:paraId="00000005">
      <w:pPr>
        <w:spacing w:line="360" w:lineRule="auto"/>
        <w:ind w:firstLine="720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7323242" cy="5265723"/>
            <wp:effectExtent b="0" l="0" r="0" t="0"/>
            <wp:docPr id="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323242" cy="52657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240" w:lineRule="auto"/>
        <w:jc w:val="center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bookmarkStart w:colFirst="0" w:colLast="0" w:name="_90puts6ok2gp" w:id="2"/>
      <w:bookmarkEnd w:id="2"/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Mapa 5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  <w:rtl w:val="0"/>
        </w:rPr>
        <w:t xml:space="preserve">: Setores censitários compreendidos pela Comunidade Canabrava. </w:t>
      </w:r>
    </w:p>
    <w:p w:rsidR="00000000" w:rsidDel="00000000" w:rsidP="00000000" w:rsidRDefault="00000000" w:rsidRPr="00000000" w14:paraId="00000007">
      <w:pPr>
        <w:spacing w:line="360" w:lineRule="auto"/>
        <w:ind w:left="566" w:firstLine="0"/>
        <w:jc w:val="center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  <w:rtl w:val="0"/>
        </w:rPr>
        <w:t xml:space="preserve">Fonte: IBGE, Favelas e Comunidades Urbanas, 2019; IBGE, Censo Demográfico, 2010; SALVADOR, bairros, 2017; GOOGLE EARTH, Google Satélite, 2022.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360" w:lineRule="auto"/>
        <w:ind w:left="566" w:firstLine="0"/>
        <w:jc w:val="center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line="360" w:lineRule="auto"/>
        <w:ind w:left="566" w:firstLine="0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7247033" cy="5296202"/>
            <wp:effectExtent b="0" l="0" r="0" t="0"/>
            <wp:docPr descr="Mapa&#10;&#10;O conteúdo gerado por IA pode estar incorreto." id="4" name="image18.png"/>
            <a:graphic>
              <a:graphicData uri="http://schemas.openxmlformats.org/drawingml/2006/picture">
                <pic:pic>
                  <pic:nvPicPr>
                    <pic:cNvPr descr="Mapa&#10;&#10;O conteúdo gerado por IA pode estar incorreto." id="0" name="image18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47033" cy="52962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line="240" w:lineRule="auto"/>
        <w:jc w:val="center"/>
        <w:rPr>
          <w:rFonts w:ascii="Times New Roman" w:cs="Times New Roman" w:eastAsia="Times New Roman" w:hAnsi="Times New Roman"/>
          <w:sz w:val="18"/>
          <w:szCs w:val="18"/>
          <w:highlight w:val="white"/>
        </w:rPr>
      </w:pPr>
      <w:bookmarkStart w:colFirst="0" w:colLast="0" w:name="_mkn0k0ijejiw" w:id="3"/>
      <w:bookmarkEnd w:id="3"/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Mapa 6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highlight w:val="white"/>
          <w:rtl w:val="0"/>
        </w:rPr>
        <w:t xml:space="preserve">: Setores censitários compreendidos pela Comunidade Canabrava e Loteamento das Mangueiras. </w:t>
      </w:r>
    </w:p>
    <w:p w:rsidR="00000000" w:rsidDel="00000000" w:rsidP="00000000" w:rsidRDefault="00000000" w:rsidRPr="00000000" w14:paraId="0000000B">
      <w:pPr>
        <w:spacing w:line="360" w:lineRule="auto"/>
        <w:ind w:left="566" w:firstLine="0"/>
        <w:jc w:val="center"/>
        <w:rPr>
          <w:rFonts w:ascii="Times New Roman" w:cs="Times New Roman" w:eastAsia="Times New Roman" w:hAnsi="Times New Roman"/>
          <w:sz w:val="18"/>
          <w:szCs w:val="18"/>
          <w:highlight w:val="white"/>
        </w:rPr>
        <w:sectPr>
          <w:type w:val="nextPage"/>
          <w:pgSz w:h="11909" w:w="16834" w:orient="landscape"/>
          <w:pgMar w:bottom="1133" w:top="1133" w:left="1133" w:right="1133" w:header="720" w:footer="720"/>
        </w:sect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highlight w:val="white"/>
          <w:rtl w:val="0"/>
        </w:rPr>
        <w:t xml:space="preserve">Fonte: IBGE, Favelas e Comunidades Urbanas, 2019; IBGE: Censo Demográfico, 2022; SALVADOR, bairros, 2017; GOOGLE EARTH, Google Satélite, 2022.</w:t>
      </w:r>
    </w:p>
    <w:p w:rsidR="00000000" w:rsidDel="00000000" w:rsidP="00000000" w:rsidRDefault="00000000" w:rsidRPr="00000000" w14:paraId="0000000C">
      <w:pPr>
        <w:spacing w:line="360" w:lineRule="auto"/>
        <w:ind w:firstLine="566"/>
        <w:jc w:val="both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Em uma primeira análise foi comparado os dados das comunidades e com os dados do município de Salvador relativas ao Censo Demográfico de 2010.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Na análise seguinte, foi comparado os dados das comunidades, com os dados do município de Salvador relativas ao Censo Demográfico de 2022, e os dados das comunidades de Canabrava e Loteamento das Mangueiras em relação aos dois censos (2010 e 2022).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widowControl w:val="0"/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 população total das Comunidades de Canabrava e Loteamento das Mangueiras em 2010 era de 7698, enquanto em 2022, era de 7848. Assim tendo um aumento de aproximadamente 2%. </w:t>
      </w:r>
    </w:p>
    <w:p w:rsidR="00000000" w:rsidDel="00000000" w:rsidP="00000000" w:rsidRDefault="00000000" w:rsidRPr="00000000" w14:paraId="0000000E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No quesito razão de sexo, em 2010, as comunidades de Canabrava e Loteamento das Mangueiras tinham uma predominância de homens (52,4%) do que mulheres (47,6%), diferentemente de Salvador que havia uma predominância de mulheres (53,3%) em relação a homens (46,7%) (IBGE, 2010). Em comparação com 2022, houve uma redução da porcentagem de homens, passando para 46,8%, assim as comunidades passaram a ser majoritariamente composta por mulheres (53,2%), aproximando mais a realidade de Salvador com 54,4% de mulheres e 45,6% de homens. </w:t>
      </w:r>
    </w:p>
    <w:p w:rsidR="00000000" w:rsidDel="00000000" w:rsidP="00000000" w:rsidRDefault="00000000" w:rsidRPr="00000000" w14:paraId="0000000F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Já em relação 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 taxa de alfabetização (85,8%) das comunidades de Canabrava e Loteamento da Mangueira, em 2010, era inferior à de Salvador (94,45%)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(IBGE, 2010).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Em comparação com 2022, houve uma redução da taxa de alfabetização das comunidades para (71,9%), enquanto a taxa de Salvador houve um aumento de para 96,55%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(IBGE, 2022)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0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731200" cy="269646"/>
            <wp:effectExtent b="0" l="0" r="0" t="0"/>
            <wp:docPr descr="Gráfico, Gráfico de pizza&#10;&#10;O conteúdo gerado por IA pode estar incorreto." id="9" name="image11.png"/>
            <a:graphic>
              <a:graphicData uri="http://schemas.openxmlformats.org/drawingml/2006/picture">
                <pic:pic>
                  <pic:nvPicPr>
                    <pic:cNvPr descr="Gráfico, Gráfico de pizza&#10;&#10;O conteúdo gerado por IA pode estar incorreto." id="0" name="image11.png"/>
                    <pic:cNvPicPr preferRelativeResize="0"/>
                  </pic:nvPicPr>
                  <pic:blipFill>
                    <a:blip r:embed="rId8"/>
                    <a:srcRect b="90605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964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731200" cy="2389526"/>
            <wp:effectExtent b="0" l="0" r="0" t="0"/>
            <wp:docPr id="18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8"/>
                    <a:srcRect b="0" l="0" r="0" t="16747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3895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</w:rPr>
        <w:drawing>
          <wp:inline distB="114300" distT="114300" distL="114300" distR="114300">
            <wp:extent cx="5731200" cy="2298674"/>
            <wp:effectExtent b="0" l="0" r="0" t="0"/>
            <wp:docPr descr="Gráfico, Gráfico de pizza&#10;&#10;O conteúdo gerado por IA pode estar incorreto." id="16" name="image19.png"/>
            <a:graphic>
              <a:graphicData uri="http://schemas.openxmlformats.org/drawingml/2006/picture">
                <pic:pic>
                  <pic:nvPicPr>
                    <pic:cNvPr descr="Gráfico, Gráfico de pizza&#10;&#10;O conteúdo gerado por IA pode estar incorreto." id="0" name="image19.png"/>
                    <pic:cNvPicPr preferRelativeResize="0"/>
                  </pic:nvPicPr>
                  <pic:blipFill>
                    <a:blip r:embed="rId9"/>
                    <a:srcRect b="0" l="0" r="0" t="1659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986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line="360" w:lineRule="auto"/>
        <w:ind w:left="566" w:firstLine="0"/>
        <w:jc w:val="center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731200" cy="2540000"/>
            <wp:effectExtent b="0" l="0" r="0" t="0"/>
            <wp:docPr id="1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40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731200" cy="2590800"/>
            <wp:effectExtent b="0" l="0" r="0" t="0"/>
            <wp:docPr descr="Gráfico, Gráfico de pizza&#10;&#10;O conteúdo gerado por IA pode estar incorreto." id="19" name="image2.png"/>
            <a:graphic>
              <a:graphicData uri="http://schemas.openxmlformats.org/drawingml/2006/picture">
                <pic:pic>
                  <pic:nvPicPr>
                    <pic:cNvPr descr="Gráfico, Gráfico de pizza&#10;&#10;O conteúdo gerado por IA pode estar incorreto." id="0" name="image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9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Em relação ao perfil-étnico racial, em 2010,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as comunidades eram majoritariamente negras (90,1%), sendo maior que a porcentagem de negros em Salvador (79,5%)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(IBGE, 2010)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Em 2022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 concentração de negros nas comunidades aumentou para 91,2%, continuando maior que a de Salvador (83,5%) (IBGE, 2022).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 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2461915" cy="2552700"/>
            <wp:effectExtent b="0" l="0" r="0" t="0"/>
            <wp:docPr id="23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2"/>
                    <a:srcRect b="0" l="6342" r="50701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1915" cy="2552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2591468" cy="2463800"/>
            <wp:effectExtent b="0" l="0" r="0" t="0"/>
            <wp:docPr descr="Gráfico, Gráfico de pizza&#10;&#10;O conteúdo gerado por IA pode estar incorreto." id="13" name="image5.png"/>
            <a:graphic>
              <a:graphicData uri="http://schemas.openxmlformats.org/drawingml/2006/picture">
                <pic:pic>
                  <pic:nvPicPr>
                    <pic:cNvPr descr="Gráfico, Gráfico de pizza&#10;&#10;O conteúdo gerado por IA pode estar incorreto." id="0" name="image5.png"/>
                    <pic:cNvPicPr preferRelativeResize="0"/>
                  </pic:nvPicPr>
                  <pic:blipFill>
                    <a:blip r:embed="rId13"/>
                    <a:srcRect b="0" l="27002" r="27781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1468" cy="2463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line="36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line="36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Em relação aos dados relativos aos domicílios, a quantidade total deles nas Comunidades de Canabrava e Loteamento das Mangueiras em 2010 era de 2268, enquanto em 2022, era de 3656. Assim tendo um aumento de aproximadamente 38 %. </w:t>
      </w:r>
    </w:p>
    <w:p w:rsidR="00000000" w:rsidDel="00000000" w:rsidP="00000000" w:rsidRDefault="00000000" w:rsidRPr="00000000" w14:paraId="0000001F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Em relação ao tipo de domicílios, em 2010, nas comunidades predominavam casas (99,6%), enquanto em Salvador também havia predominância de casas, mas em concentração menor (73,4%) (IBGE, 2010). Em comparação com 2022, houve um aumento de habitações em casas de cômodos ou cortiços (4,6%) assim como apartamentos (1,6%) e casa de vila ou em condomínio (1,7%), consequentemente reduzindo a concentração de casa para (90,9%), mas seguindo superior a concentração de casa no município (69,4%) (IBGE, 2022). Além disso, em 2022, de acordo com a espécie de domicílios, não havia a existência de domicílios coletivos nas comunidades, somente existindo domicílios particulares, diferentemente de 2010 que existiam (0,1%) de domicílios coletivos.</w:t>
      </w:r>
    </w:p>
    <w:p w:rsidR="00000000" w:rsidDel="00000000" w:rsidP="00000000" w:rsidRDefault="00000000" w:rsidRPr="00000000" w14:paraId="00000021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731200" cy="234529"/>
            <wp:effectExtent b="0" l="0" r="0" t="0"/>
            <wp:docPr descr="Gráfico, Gráfico de pizza&#10;&#10;O conteúdo gerado por IA pode estar incorreto." id="11" name="image6.png"/>
            <a:graphic>
              <a:graphicData uri="http://schemas.openxmlformats.org/drawingml/2006/picture">
                <pic:pic>
                  <pic:nvPicPr>
                    <pic:cNvPr descr="Gráfico, Gráfico de pizza&#10;&#10;O conteúdo gerado por IA pode estar incorreto." id="0" name="image6.png"/>
                    <pic:cNvPicPr preferRelativeResize="0"/>
                  </pic:nvPicPr>
                  <pic:blipFill>
                    <a:blip r:embed="rId14"/>
                    <a:srcRect b="93926" l="0" r="0" t="-2025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345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6131552" cy="2759218"/>
            <wp:effectExtent b="0" l="0" r="0" t="0"/>
            <wp:docPr id="12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 b="0" l="0" r="0" t="10932"/>
                    <a:stretch>
                      <a:fillRect/>
                    </a:stretch>
                  </pic:blipFill>
                  <pic:spPr>
                    <a:xfrm>
                      <a:off x="0" y="0"/>
                      <a:ext cx="6131552" cy="27592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0" distT="0" distL="0" distR="0">
            <wp:extent cx="6123305" cy="2788920"/>
            <wp:effectExtent b="0" l="0" r="0" t="0"/>
            <wp:docPr descr="Gráfico, Gráfico de pizza&#10;&#10;O conteúdo gerado por IA pode estar incorreto." id="17" name="image17.png"/>
            <a:graphic>
              <a:graphicData uri="http://schemas.openxmlformats.org/drawingml/2006/picture">
                <pic:pic>
                  <pic:nvPicPr>
                    <pic:cNvPr descr="Gráfico, Gráfico de pizza&#10;&#10;O conteúdo gerado por IA pode estar incorreto." id="0" name="image17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23305" cy="27889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Em relação a taxa de domicílios com abastecimento de água ligados à rede geral, em 2010, as comunidades tinham uma taxa de 99,1%, menor que Salvador (98,9%) (IBGE, 2010). Em comparação com 2022, houve um aumento da a taxa de domicílios das comunidades com abastecimento de água ligados à rede geral para 99.7%, superando a de Salvador (99,1%) (IBGE, 2022).</w:t>
      </w:r>
    </w:p>
    <w:p w:rsidR="00000000" w:rsidDel="00000000" w:rsidP="00000000" w:rsidRDefault="00000000" w:rsidRPr="00000000" w14:paraId="0000002E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2870304" cy="2837193"/>
            <wp:effectExtent b="0" l="0" r="0" t="0"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6"/>
                    <a:srcRect b="0" l="53595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0304" cy="28371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0" distT="0" distL="0" distR="0">
            <wp:extent cx="2799924" cy="2877452"/>
            <wp:effectExtent b="0" l="0" r="0" t="0"/>
            <wp:docPr descr="Gráfico, Gráfico de pizza&#10;&#10;O conteúdo gerado por IA pode estar incorreto." id="2" name="image10.png"/>
            <a:graphic>
              <a:graphicData uri="http://schemas.openxmlformats.org/drawingml/2006/picture">
                <pic:pic>
                  <pic:nvPicPr>
                    <pic:cNvPr descr="Gráfico, Gráfico de pizza&#10;&#10;O conteúdo gerado por IA pode estar incorreto." id="0" name="image10.png"/>
                    <pic:cNvPicPr preferRelativeResize="0"/>
                  </pic:nvPicPr>
                  <pic:blipFill>
                    <a:blip r:embed="rId17"/>
                    <a:srcRect b="0" l="54291" r="0" t="16625"/>
                    <a:stretch>
                      <a:fillRect/>
                    </a:stretch>
                  </pic:blipFill>
                  <pic:spPr>
                    <a:xfrm>
                      <a:off x="0" y="0"/>
                      <a:ext cx="2799924" cy="28774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Em 2010, a taxa de domicílios com esgotamento sanitário ligados à rede geral ou pluvial era consideravelmente menor nas comunidades (22,1%) do que em Salvador (90,8%), predominando nas comunidades as fossas rudimentares (40,4%) (IBGE, 2010). Em comparação com 2022, houve um aumento da taxa de domicílios com esgotamento sanitário ligado à rede geral de esgoto ou pluvial para 72.1%, mas segue sendo menor que Salvador 94,97% (IBGE, 2022).</w:t>
      </w:r>
    </w:p>
    <w:p w:rsidR="00000000" w:rsidDel="00000000" w:rsidP="00000000" w:rsidRDefault="00000000" w:rsidRPr="00000000" w14:paraId="00000031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6015089" cy="2759120"/>
            <wp:effectExtent b="0" l="0" r="0" t="0"/>
            <wp:docPr id="21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15089" cy="27591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0" distT="0" distL="0" distR="0">
            <wp:extent cx="6123305" cy="2823845"/>
            <wp:effectExtent b="0" l="0" r="0" t="0"/>
            <wp:docPr descr="Gráfico, Gráfico de pizza&#10;&#10;O conteúdo gerado por IA pode estar incorreto." id="6" name="image13.png"/>
            <a:graphic>
              <a:graphicData uri="http://schemas.openxmlformats.org/drawingml/2006/picture">
                <pic:pic>
                  <pic:nvPicPr>
                    <pic:cNvPr descr="Gráfico, Gráfico de pizza&#10;&#10;O conteúdo gerado por IA pode estar incorreto." id="0" name="image13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23305" cy="28238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Em relação à coleta de lixo, em 2010, predominava nas comunidades o depositado pela própria população nas caçambas de serviço de limpeza (64,8%), enquanto em Salvador predomina o coletado nas residências pelo serviço de limpeza (61,23%) (IBGE, 2010). Em comparação com 2022, mais casas nas comunidades têm o lixo coletado pelo serviço de limpeza, passando de 33,1% para 37,5%, mas segue sendo menor que Salvador (57,3%), continuando a predominar o lixo depositado na caçamba de serviço de limpeza (61,2%) (IBGE, 2010 e 2022). </w:t>
      </w:r>
    </w:p>
    <w:p w:rsidR="00000000" w:rsidDel="00000000" w:rsidP="00000000" w:rsidRDefault="00000000" w:rsidRPr="00000000" w14:paraId="00000034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6103747" cy="2691583"/>
            <wp:effectExtent b="0" l="0" r="0" t="0"/>
            <wp:docPr id="8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03747" cy="26915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0" distT="0" distL="0" distR="0">
            <wp:extent cx="6145991" cy="2510531"/>
            <wp:effectExtent b="0" l="0" r="0" t="0"/>
            <wp:docPr descr="Gráfico, Gráfico de pizza&#10;&#10;O conteúdo gerado por IA pode estar incorreto." id="3" name="image4.png"/>
            <a:graphic>
              <a:graphicData uri="http://schemas.openxmlformats.org/drawingml/2006/picture">
                <pic:pic>
                  <pic:nvPicPr>
                    <pic:cNvPr descr="Gráfico, Gráfico de pizza&#10;&#10;O conteúdo gerado por IA pode estar incorreto." id="0" name="image4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45991" cy="25105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 comunidade apresenta diversos problemas em relação aos serviços de saneamento básico. Há uma desigualdade de acesso intrabairro: as casas nas cotas mais altas, próximas à via principal (Rua Artêmio de Castro Valente), e os conjuntos habitacionais desfrutam desses serviços, enquanto as moradias nas encostas e nos fundos de vales não tem (FMLF, 2024).</w:t>
      </w:r>
    </w:p>
    <w:p w:rsidR="00000000" w:rsidDel="00000000" w:rsidP="00000000" w:rsidRDefault="00000000" w:rsidRPr="00000000" w14:paraId="00000039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Na área das comunidades, o fornecimento de água é frequentemente interrompido. Além disso, moradores apontaram que quando falta água ainda recorrem às fontes (Imagem 22) dentro da comunidade. Antigamente, o bairro contava com duas fontes que eram usadas para lavar roupas e tomar banho (SANTOS et al., 2010).</w:t>
      </w:r>
    </w:p>
    <w:p w:rsidR="00000000" w:rsidDel="00000000" w:rsidP="00000000" w:rsidRDefault="00000000" w:rsidRPr="00000000" w14:paraId="0000003A">
      <w:pPr>
        <w:widowControl w:val="0"/>
        <w:spacing w:line="360" w:lineRule="auto"/>
        <w:ind w:left="566" w:firstLine="0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b w:val="1"/>
          <w:bCs w:val="1"/>
          <w:color w:val="ff0000"/>
          <w:sz w:val="20"/>
          <w:szCs w:val="20"/>
        </w:rPr>
        <w:drawing>
          <wp:inline distB="114300" distT="114300" distL="114300" distR="114300">
            <wp:extent cx="2079788" cy="2828925"/>
            <wp:effectExtent b="0" l="0" r="0" t="0"/>
            <wp:docPr descr="Uma imagem contendo banco, foto, tijolo, parque&#10;&#10;O conteúdo gerado por IA pode estar incorreto." id="22" name="image14.png"/>
            <a:graphic>
              <a:graphicData uri="http://schemas.openxmlformats.org/drawingml/2006/picture">
                <pic:pic>
                  <pic:nvPicPr>
                    <pic:cNvPr descr="Uma imagem contendo banco, foto, tijolo, parque&#10;&#10;O conteúdo gerado por IA pode estar incorreto." id="0" name="image14.png"/>
                    <pic:cNvPicPr preferRelativeResize="0"/>
                  </pic:nvPicPr>
                  <pic:blipFill>
                    <a:blip r:embed="rId22"/>
                    <a:srcRect b="12529" l="15622" r="14260" t="2854"/>
                    <a:stretch>
                      <a:fillRect/>
                    </a:stretch>
                  </pic:blipFill>
                  <pic:spPr>
                    <a:xfrm>
                      <a:off x="0" y="0"/>
                      <a:ext cx="2079788" cy="2828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bookmarkStart w:colFirst="0" w:colLast="0" w:name="_23plf6kbx4ia" w:id="4"/>
      <w:bookmarkEnd w:id="4"/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Imagem 26: Minadouro na Rua da Fonte, Padre Ugo</w:t>
      </w:r>
    </w:p>
    <w:p w:rsidR="00000000" w:rsidDel="00000000" w:rsidP="00000000" w:rsidRDefault="00000000" w:rsidRPr="00000000" w14:paraId="0000003C">
      <w:pPr>
        <w:spacing w:line="36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Fonte: FMLF, 2024, p.143</w:t>
      </w:r>
    </w:p>
    <w:p w:rsidR="00000000" w:rsidDel="00000000" w:rsidP="00000000" w:rsidRDefault="00000000" w:rsidRPr="00000000" w14:paraId="0000003D">
      <w:pPr>
        <w:spacing w:line="360" w:lineRule="auto"/>
        <w:ind w:firstLine="720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Já no quesito esgotamento sanitário, a Prefeitura Bairro Pau da Lima, que inclui o bairro de Canabrava, tem o pior índice de atendimento de esgoto do município, com 57,57% de atendimento (SEINFRA, 2021). O bairro de Canabrava tem o índice classificado como ruim, com atendimento de 31% (SEINFRA, 2021). Dessa forma, há ausência de sistema de esgotamento sanitário na maior parte das ZEIS e, por conta disso, a população utiliza outras alternativas. </w:t>
      </w:r>
    </w:p>
    <w:p w:rsidR="00000000" w:rsidDel="00000000" w:rsidP="00000000" w:rsidRDefault="00000000" w:rsidRPr="00000000" w14:paraId="0000003F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widowControl w:val="0"/>
        <w:spacing w:line="360" w:lineRule="auto"/>
        <w:jc w:val="center"/>
        <w:rPr>
          <w:b w:val="1"/>
          <w:bCs w:val="1"/>
          <w:color w:val="ff0000"/>
        </w:rPr>
      </w:pPr>
      <w:r w:rsidDel="00000000" w:rsidR="00000000" w:rsidRPr="00000000">
        <w:rPr>
          <w:b w:val="1"/>
          <w:bCs w:val="1"/>
          <w:color w:val="ff0000"/>
        </w:rPr>
        <w:drawing>
          <wp:inline distB="114300" distT="114300" distL="114300" distR="114300">
            <wp:extent cx="5591175" cy="2284053"/>
            <wp:effectExtent b="0" l="0" r="0" t="0"/>
            <wp:docPr descr="Interface gráfica do usuário, Aplicativo&#10;&#10;O conteúdo gerado por IA pode estar incorreto." id="7" name="image20.png"/>
            <a:graphic>
              <a:graphicData uri="http://schemas.openxmlformats.org/drawingml/2006/picture">
                <pic:pic>
                  <pic:nvPicPr>
                    <pic:cNvPr descr="Interface gráfica do usuário, Aplicativo&#10;&#10;O conteúdo gerado por IA pode estar incorreto." id="0" name="image20.png"/>
                    <pic:cNvPicPr preferRelativeResize="0"/>
                  </pic:nvPicPr>
                  <pic:blipFill>
                    <a:blip r:embed="rId23"/>
                    <a:srcRect b="7662" l="0" r="0" t="53408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22840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bookmarkStart w:colFirst="0" w:colLast="0" w:name="_somouv9y68zb" w:id="5"/>
      <w:bookmarkEnd w:id="5"/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Imagem 27:  Exemplo das condições do esgotamento sanitário: escoamento de esgoto a céu aberto.</w:t>
      </w:r>
    </w:p>
    <w:p w:rsidR="00000000" w:rsidDel="00000000" w:rsidP="00000000" w:rsidRDefault="00000000" w:rsidRPr="00000000" w14:paraId="00000042">
      <w:pPr>
        <w:spacing w:line="36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Fonte: Salvador, FMLF, Produto 04, 2024, p.146</w:t>
      </w:r>
    </w:p>
    <w:p w:rsidR="00000000" w:rsidDel="00000000" w:rsidP="00000000" w:rsidRDefault="00000000" w:rsidRPr="00000000" w14:paraId="00000043">
      <w:pPr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 limpeza urbana em Canabrava é realizada por empresas terceirizadas, contratadas pela Prefeitura através do consórcio ECOSAL. Já a coleta de resíduos sólidos domiciliares é feita pela JOTAGÊ duas vezes na semana. Nas vias principais do bairro tem coleta de resíduos sólidos na porta enquanto a maior parte dos moradores das ZEIS leva seus resíduos sólidos para as caçambas localizadas na Rua Artêmio de Castro Valente. Devido à dificuldade de acesso às caçambas, a população que mora nas baixadas mais distantes busca outros fins para os resíduos (FMLF, Produto 04, 2024). </w:t>
      </w:r>
    </w:p>
    <w:p w:rsidR="00000000" w:rsidDel="00000000" w:rsidP="00000000" w:rsidRDefault="00000000" w:rsidRPr="00000000" w14:paraId="00000045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sz w:val="20"/>
          <w:szCs w:val="20"/>
        </w:rPr>
        <w:drawing>
          <wp:inline distB="114300" distT="114300" distL="114300" distR="114300">
            <wp:extent cx="5476875" cy="2714625"/>
            <wp:effectExtent b="0" l="0" r="0" t="0"/>
            <wp:docPr descr="Uma imagem contendo ao ar livre, cerca, edifício, rua&#10;&#10;O conteúdo gerado por IA pode estar incorreto." id="10" name="image7.png"/>
            <a:graphic>
              <a:graphicData uri="http://schemas.openxmlformats.org/drawingml/2006/picture">
                <pic:pic>
                  <pic:nvPicPr>
                    <pic:cNvPr descr="Uma imagem contendo ao ar livre, cerca, edifício, rua&#10;&#10;O conteúdo gerado por IA pode estar incorreto." id="0" name="image7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2714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bookmarkStart w:colFirst="0" w:colLast="0" w:name="_psa2bzxd9gl3" w:id="6"/>
      <w:bookmarkEnd w:id="6"/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Imagem 28: Caçamba em frente ao Atacadão.</w:t>
      </w:r>
    </w:p>
    <w:p w:rsidR="00000000" w:rsidDel="00000000" w:rsidP="00000000" w:rsidRDefault="00000000" w:rsidRPr="00000000" w14:paraId="00000048">
      <w:pPr>
        <w:spacing w:line="36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Fonte: FMLF, Produto 04, 2024, p.152</w:t>
      </w:r>
    </w:p>
    <w:p w:rsidR="00000000" w:rsidDel="00000000" w:rsidP="00000000" w:rsidRDefault="00000000" w:rsidRPr="00000000" w14:paraId="00000049">
      <w:pPr>
        <w:spacing w:line="36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Segundo o Censo de 2022, os estabelecimentos por espécie categorizados em: religioso, saúde, ensino, outras finalidades ou em construção ou reforma, predominam os estabelecimentos de outra finalidade. Dentre as outras finalidades constam estabelecimentos de comércio e serviço</w:t>
      </w:r>
    </w:p>
    <w:p w:rsidR="00000000" w:rsidDel="00000000" w:rsidP="00000000" w:rsidRDefault="00000000" w:rsidRPr="00000000" w14:paraId="0000004A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0" distT="0" distL="0" distR="0">
            <wp:extent cx="6123305" cy="3126740"/>
            <wp:effectExtent b="0" l="0" r="0" t="0"/>
            <wp:docPr descr="Gráfico, Gráfico de pizza&#10;&#10;O conteúdo gerado por IA pode estar incorreto." id="14" name="image3.png"/>
            <a:graphic>
              <a:graphicData uri="http://schemas.openxmlformats.org/drawingml/2006/picture">
                <pic:pic>
                  <pic:nvPicPr>
                    <pic:cNvPr descr="Gráfico, Gráfico de pizza&#10;&#10;O conteúdo gerado por IA pode estar incorreto." id="0" name="image3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23305" cy="31267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Sobre o rendimento nominal mensal, não é possível fazer uma comparação direta entre os censos, pois em 2022 o valor agregado disponibilizado até o momento diz respeito ao rendimento nominal médio mensal dos responsáveis pelo domicílio, que corresponde a R$ 1293,53, valore este menor que um salário-mínimo.</w:t>
      </w:r>
    </w:p>
    <w:p w:rsidR="00000000" w:rsidDel="00000000" w:rsidP="00000000" w:rsidRDefault="00000000" w:rsidRPr="00000000" w14:paraId="0000004D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731200" cy="2768600"/>
            <wp:effectExtent b="0" l="0" r="0" t="0"/>
            <wp:docPr id="20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68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sectPr>
      <w:type w:val="nextPage"/>
      <w:pgSz w:h="16834" w:w="11909" w:orient="portrait"/>
      <w:pgMar w:bottom="1133" w:top="1133" w:left="1133" w:right="1133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pt_BR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9.png"/><Relationship Id="rId22" Type="http://schemas.openxmlformats.org/officeDocument/2006/relationships/image" Target="media/image14.png"/><Relationship Id="rId21" Type="http://schemas.openxmlformats.org/officeDocument/2006/relationships/image" Target="media/image4.png"/><Relationship Id="rId24" Type="http://schemas.openxmlformats.org/officeDocument/2006/relationships/image" Target="media/image7.png"/><Relationship Id="rId23" Type="http://schemas.openxmlformats.org/officeDocument/2006/relationships/image" Target="media/image20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9.png"/><Relationship Id="rId26" Type="http://schemas.openxmlformats.org/officeDocument/2006/relationships/image" Target="media/image8.png"/><Relationship Id="rId25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image" Target="media/image21.png"/><Relationship Id="rId7" Type="http://schemas.openxmlformats.org/officeDocument/2006/relationships/image" Target="media/image18.png"/><Relationship Id="rId8" Type="http://schemas.openxmlformats.org/officeDocument/2006/relationships/image" Target="media/image11.png"/><Relationship Id="rId11" Type="http://schemas.openxmlformats.org/officeDocument/2006/relationships/image" Target="media/image2.png"/><Relationship Id="rId10" Type="http://schemas.openxmlformats.org/officeDocument/2006/relationships/image" Target="media/image15.png"/><Relationship Id="rId13" Type="http://schemas.openxmlformats.org/officeDocument/2006/relationships/image" Target="media/image5.png"/><Relationship Id="rId12" Type="http://schemas.openxmlformats.org/officeDocument/2006/relationships/image" Target="media/image12.png"/><Relationship Id="rId15" Type="http://schemas.openxmlformats.org/officeDocument/2006/relationships/image" Target="media/image17.png"/><Relationship Id="rId14" Type="http://schemas.openxmlformats.org/officeDocument/2006/relationships/image" Target="media/image6.png"/><Relationship Id="rId17" Type="http://schemas.openxmlformats.org/officeDocument/2006/relationships/image" Target="media/image10.png"/><Relationship Id="rId16" Type="http://schemas.openxmlformats.org/officeDocument/2006/relationships/image" Target="media/image1.png"/><Relationship Id="rId19" Type="http://schemas.openxmlformats.org/officeDocument/2006/relationships/image" Target="media/image13.png"/><Relationship Id="rId18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